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rPr>
      </w:pPr>
      <w:r>
        <w:rPr>
          <w:noProof/>
          <w:lang w:val="en-GB" w:eastAsia="en-GB"/>
        </w:rPr>
        <w:drawing>
          <wp:anchor distT="0" distB="0" distL="114300" distR="114300" simplePos="0" relativeHeight="251659264" behindDoc="0" locked="0" layoutInCell="1" allowOverlap="1">
            <wp:simplePos x="0" y="0"/>
            <wp:positionH relativeFrom="column">
              <wp:posOffset>8324850</wp:posOffset>
            </wp:positionH>
            <wp:positionV relativeFrom="paragraph">
              <wp:posOffset>-171450</wp:posOffset>
            </wp:positionV>
            <wp:extent cx="80454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762000"/>
                    </a:xfrm>
                    <a:prstGeom prst="rect">
                      <a:avLst/>
                    </a:prstGeom>
                    <a:noFill/>
                  </pic:spPr>
                </pic:pic>
              </a:graphicData>
            </a:graphic>
            <wp14:sizeRelH relativeFrom="page">
              <wp14:pctWidth>0</wp14:pctWidth>
            </wp14:sizeRelH>
            <wp14:sizeRelV relativeFrom="page">
              <wp14:pctHeight>0</wp14:pctHeight>
            </wp14:sizeRelV>
          </wp:anchor>
        </w:drawing>
      </w:r>
    </w:p>
    <w:p>
      <w:pPr>
        <w:rPr>
          <w:rFonts w:ascii="Arial" w:hAnsi="Arial" w:cs="Arial"/>
        </w:rPr>
      </w:pPr>
    </w:p>
    <w:p>
      <w:pPr>
        <w:rPr>
          <w:rFonts w:ascii="Arial" w:hAnsi="Arial" w:cs="Arial"/>
        </w:rPr>
      </w:pPr>
    </w:p>
    <w:tbl>
      <w:tblPr>
        <w:tblStyle w:val="TableGrid"/>
        <w:tblW w:w="13882" w:type="dxa"/>
        <w:jc w:val="center"/>
        <w:tblLayout w:type="fixed"/>
        <w:tblLook w:val="04A0" w:firstRow="1" w:lastRow="0" w:firstColumn="1" w:lastColumn="0" w:noHBand="0" w:noVBand="1"/>
      </w:tblPr>
      <w:tblGrid>
        <w:gridCol w:w="6941"/>
        <w:gridCol w:w="6941"/>
      </w:tblGrid>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bookmarkStart w:id="0" w:name="_Hlk108001898"/>
            <w:bookmarkStart w:id="1" w:name="_Hlk108002041"/>
            <w:r>
              <w:rPr>
                <w:rFonts w:ascii="Arial" w:eastAsia="Arial" w:hAnsi="Arial" w:cs="Arial"/>
                <w:b/>
                <w:bCs/>
                <w:color w:val="FFFFFF" w:themeColor="background1"/>
                <w:sz w:val="32"/>
                <w:szCs w:val="32"/>
              </w:rPr>
              <w:t>Year 10 English Language and English Literature</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1: An Inspector Calls</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b/>
                <w:bCs/>
                <w:color w:val="FFFFFF" w:themeColor="background1"/>
                <w:sz w:val="24"/>
                <w:szCs w:val="24"/>
              </w:rPr>
            </w:pPr>
            <w:r>
              <w:rPr>
                <w:rFonts w:ascii="Arial" w:hAnsi="Arial" w:cs="Arial"/>
                <w:b/>
                <w:bCs/>
                <w:color w:val="FFFFFF" w:themeColor="background1"/>
                <w:sz w:val="24"/>
                <w:szCs w:val="24"/>
              </w:rPr>
              <w:t>Unit 2: First Times – writing unit</w:t>
            </w:r>
          </w:p>
        </w:tc>
      </w:tr>
      <w:tr>
        <w:trPr>
          <w:trHeight w:val="975"/>
          <w:jc w:val="center"/>
        </w:trPr>
        <w:tc>
          <w:tcPr>
            <w:tcW w:w="6941" w:type="dxa"/>
          </w:tcPr>
          <w:p>
            <w:pPr>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t>To begin exploring characters, themes and ideas to understand the contexts and purpose of the text. Students will develop an academic style of writing building on skills introduced in KS3 in response to the whole text and writer’s purpose. This unit build on plays studied in year 8 and 9 and Literary texts in KS3.</w:t>
            </w:r>
          </w:p>
          <w:p>
            <w:pPr>
              <w:jc w:val="both"/>
              <w:rPr>
                <w:rStyle w:val="normaltextrun"/>
                <w:rFonts w:ascii="Arial" w:hAnsi="Arial" w:cs="Arial"/>
                <w:color w:val="000000"/>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eastAsiaTheme="minorEastAsia" w:hAnsi="Arial" w:cs="Arial"/>
                <w:b/>
                <w:color w:val="7030A0"/>
                <w:u w:val="single"/>
                <w:lang w:val="en-GB"/>
              </w:rPr>
            </w:pPr>
            <w:r>
              <w:rPr>
                <w:rFonts w:ascii="Arial" w:eastAsiaTheme="minorEastAsia" w:hAnsi="Arial" w:cs="Arial"/>
                <w:b/>
                <w:color w:val="7030A0"/>
                <w:u w:val="single"/>
                <w:lang w:val="en-GB"/>
              </w:rPr>
              <w:t>Vocabulary</w:t>
            </w:r>
          </w:p>
          <w:p>
            <w:pPr>
              <w:rPr>
                <w:rFonts w:ascii="Arial" w:eastAsiaTheme="minorEastAsia" w:hAnsi="Arial" w:cs="Arial"/>
                <w:b/>
                <w:color w:val="7030A0"/>
                <w:lang w:val="en-GB"/>
              </w:rPr>
            </w:pPr>
            <w:r>
              <w:rPr>
                <w:rFonts w:ascii="Arial" w:eastAsiaTheme="minorEastAsia" w:hAnsi="Arial" w:cs="Arial"/>
                <w:b/>
                <w:color w:val="7030A0"/>
                <w:lang w:val="en-GB"/>
              </w:rPr>
              <w:t>Altruistic</w:t>
            </w:r>
          </w:p>
          <w:p>
            <w:pPr>
              <w:rPr>
                <w:rFonts w:ascii="Arial" w:eastAsiaTheme="minorEastAsia" w:hAnsi="Arial" w:cs="Arial"/>
                <w:b/>
                <w:color w:val="7030A0"/>
                <w:lang w:val="en-GB"/>
              </w:rPr>
            </w:pPr>
            <w:r>
              <w:rPr>
                <w:rFonts w:ascii="Arial" w:eastAsiaTheme="minorEastAsia" w:hAnsi="Arial" w:cs="Arial"/>
                <w:b/>
                <w:color w:val="7030A0"/>
                <w:lang w:val="en-GB"/>
              </w:rPr>
              <w:t xml:space="preserve">Capitalism </w:t>
            </w:r>
          </w:p>
          <w:p>
            <w:pPr>
              <w:rPr>
                <w:rFonts w:ascii="Arial" w:eastAsiaTheme="minorEastAsia" w:hAnsi="Arial" w:cs="Arial"/>
                <w:b/>
                <w:color w:val="7030A0"/>
                <w:lang w:val="en-GB"/>
              </w:rPr>
            </w:pPr>
            <w:r>
              <w:rPr>
                <w:rFonts w:ascii="Arial" w:eastAsiaTheme="minorEastAsia" w:hAnsi="Arial" w:cs="Arial"/>
                <w:b/>
                <w:color w:val="7030A0"/>
                <w:lang w:val="en-GB"/>
              </w:rPr>
              <w:t>Conform</w:t>
            </w:r>
          </w:p>
          <w:p>
            <w:pPr>
              <w:rPr>
                <w:rFonts w:ascii="Arial" w:eastAsiaTheme="minorEastAsia" w:hAnsi="Arial" w:cs="Arial"/>
                <w:b/>
                <w:color w:val="7030A0"/>
                <w:lang w:val="en-GB"/>
              </w:rPr>
            </w:pPr>
            <w:r>
              <w:rPr>
                <w:rFonts w:ascii="Arial" w:eastAsiaTheme="minorEastAsia" w:hAnsi="Arial" w:cs="Arial"/>
                <w:b/>
                <w:color w:val="7030A0"/>
                <w:lang w:val="en-GB"/>
              </w:rPr>
              <w:t xml:space="preserve">Didactic </w:t>
            </w:r>
          </w:p>
          <w:p>
            <w:pPr>
              <w:rPr>
                <w:rFonts w:ascii="Arial" w:eastAsiaTheme="minorEastAsia" w:hAnsi="Arial" w:cs="Arial"/>
                <w:b/>
                <w:color w:val="7030A0"/>
                <w:lang w:val="en-GB"/>
              </w:rPr>
            </w:pPr>
            <w:r>
              <w:rPr>
                <w:rFonts w:ascii="Arial" w:eastAsiaTheme="minorEastAsia" w:hAnsi="Arial" w:cs="Arial"/>
                <w:b/>
                <w:color w:val="7030A0"/>
                <w:lang w:val="en-GB"/>
              </w:rPr>
              <w:t xml:space="preserve">Hierarchy </w:t>
            </w:r>
          </w:p>
          <w:p>
            <w:pPr>
              <w:rPr>
                <w:rFonts w:ascii="Arial" w:eastAsiaTheme="minorEastAsia" w:hAnsi="Arial" w:cs="Arial"/>
                <w:b/>
                <w:color w:val="7030A0"/>
                <w:lang w:val="en-GB"/>
              </w:rPr>
            </w:pPr>
            <w:r>
              <w:rPr>
                <w:rFonts w:ascii="Arial" w:eastAsiaTheme="minorEastAsia" w:hAnsi="Arial" w:cs="Arial"/>
                <w:b/>
                <w:color w:val="7030A0"/>
                <w:lang w:val="en-GB"/>
              </w:rPr>
              <w:t>Morality</w:t>
            </w:r>
          </w:p>
          <w:p>
            <w:pPr>
              <w:rPr>
                <w:rFonts w:ascii="Arial" w:eastAsiaTheme="minorEastAsia" w:hAnsi="Arial" w:cs="Arial"/>
                <w:b/>
                <w:color w:val="7030A0"/>
                <w:lang w:val="en-GB"/>
              </w:rPr>
            </w:pPr>
            <w:r>
              <w:rPr>
                <w:rFonts w:ascii="Arial" w:eastAsiaTheme="minorEastAsia" w:hAnsi="Arial" w:cs="Arial"/>
                <w:b/>
                <w:color w:val="7030A0"/>
                <w:lang w:val="en-GB"/>
              </w:rPr>
              <w:t>Patriarchy</w:t>
            </w:r>
          </w:p>
          <w:p>
            <w:pPr>
              <w:rPr>
                <w:rFonts w:ascii="Arial" w:eastAsiaTheme="minorEastAsia" w:hAnsi="Arial" w:cs="Arial"/>
                <w:b/>
                <w:color w:val="7030A0"/>
                <w:lang w:val="en-GB"/>
              </w:rPr>
            </w:pPr>
            <w:r>
              <w:rPr>
                <w:rFonts w:ascii="Arial" w:eastAsiaTheme="minorEastAsia" w:hAnsi="Arial" w:cs="Arial"/>
                <w:b/>
                <w:color w:val="7030A0"/>
                <w:lang w:val="en-GB"/>
              </w:rPr>
              <w:t xml:space="preserve">Radical </w:t>
            </w:r>
          </w:p>
          <w:p>
            <w:pPr>
              <w:rPr>
                <w:rFonts w:ascii="Arial" w:eastAsiaTheme="minorEastAsia" w:hAnsi="Arial" w:cs="Arial"/>
                <w:b/>
                <w:color w:val="7030A0"/>
                <w:lang w:val="en-GB"/>
              </w:rPr>
            </w:pPr>
            <w:r>
              <w:rPr>
                <w:rFonts w:ascii="Arial" w:eastAsiaTheme="minorEastAsia" w:hAnsi="Arial" w:cs="Arial"/>
                <w:b/>
                <w:color w:val="7030A0"/>
                <w:lang w:val="en-GB"/>
              </w:rPr>
              <w:t xml:space="preserve">Socialism </w:t>
            </w:r>
          </w:p>
          <w:p>
            <w:pPr>
              <w:rPr>
                <w:rFonts w:ascii="Arial" w:eastAsiaTheme="minorEastAsia" w:hAnsi="Arial" w:cs="Arial"/>
                <w:b/>
                <w:color w:val="7030A0"/>
                <w:lang w:val="en-GB"/>
              </w:rPr>
            </w:pPr>
            <w:r>
              <w:rPr>
                <w:rFonts w:ascii="Arial" w:eastAsiaTheme="minorEastAsia" w:hAnsi="Arial" w:cs="Arial"/>
                <w:b/>
                <w:color w:val="7030A0"/>
                <w:lang w:val="en-GB"/>
              </w:rPr>
              <w:t>Subvert</w:t>
            </w:r>
          </w:p>
          <w:p>
            <w:pPr>
              <w:rPr>
                <w:rFonts w:ascii="Arial" w:eastAsiaTheme="minorEastAsia" w:hAnsi="Arial" w:cs="Arial"/>
                <w:b/>
                <w:color w:val="7030A0"/>
                <w:lang w:val="en-GB"/>
              </w:rPr>
            </w:pPr>
          </w:p>
          <w:p>
            <w:pPr>
              <w:rPr>
                <w:rFonts w:ascii="Arial" w:eastAsiaTheme="minorEastAsia" w:hAnsi="Arial" w:cs="Arial"/>
                <w:b/>
                <w:color w:val="7030A0"/>
                <w:u w:val="single"/>
                <w:lang w:val="en-GB"/>
              </w:rPr>
            </w:pPr>
            <w:r>
              <w:rPr>
                <w:rFonts w:ascii="Arial" w:eastAsiaTheme="minorEastAsia" w:hAnsi="Arial" w:cs="Arial"/>
                <w:b/>
                <w:color w:val="7030A0"/>
                <w:u w:val="single"/>
                <w:lang w:val="en-GB"/>
              </w:rPr>
              <w:t>Reading</w:t>
            </w:r>
          </w:p>
          <w:p>
            <w:pPr>
              <w:rPr>
                <w:rFonts w:ascii="Arial" w:eastAsiaTheme="minorEastAsia" w:hAnsi="Arial" w:cs="Arial"/>
                <w:b/>
                <w:color w:val="7030A0"/>
                <w:lang w:val="en-GB"/>
              </w:rPr>
            </w:pPr>
            <w:r>
              <w:rPr>
                <w:rFonts w:ascii="Arial" w:eastAsiaTheme="minorEastAsia" w:hAnsi="Arial" w:cs="Arial"/>
                <w:b/>
                <w:color w:val="7030A0"/>
                <w:lang w:val="en-GB"/>
              </w:rPr>
              <w:t>Strategic reading – before, during, after</w:t>
            </w:r>
          </w:p>
          <w:p>
            <w:pPr>
              <w:rPr>
                <w:rFonts w:ascii="Arial" w:eastAsiaTheme="minorEastAsia" w:hAnsi="Arial" w:cs="Arial"/>
                <w:b/>
                <w:color w:val="7030A0"/>
              </w:rPr>
            </w:pPr>
            <w:r>
              <w:rPr>
                <w:rFonts w:ascii="Arial" w:eastAsiaTheme="minorEastAsia" w:hAnsi="Arial" w:cs="Arial"/>
                <w:b/>
                <w:color w:val="7030A0"/>
              </w:rPr>
              <w:t>Literary Canon</w:t>
            </w:r>
          </w:p>
          <w:p>
            <w:pPr>
              <w:rPr>
                <w:rFonts w:ascii="Arial" w:eastAsiaTheme="minorEastAsia" w:hAnsi="Arial" w:cs="Arial"/>
              </w:rPr>
            </w:pPr>
          </w:p>
        </w:tc>
        <w:tc>
          <w:tcPr>
            <w:tcW w:w="6941" w:type="dxa"/>
            <w:tcBorders>
              <w:right w:val="single" w:sz="8" w:space="0" w:color="000000" w:themeColor="text1"/>
            </w:tcBorders>
          </w:tcPr>
          <w:p>
            <w:pPr>
              <w:jc w:val="both"/>
              <w:rPr>
                <w:rStyle w:val="eop"/>
                <w:rFonts w:ascii="Arial" w:hAnsi="Arial" w:cs="Arial"/>
                <w:shd w:val="clear" w:color="auto" w:fill="FFFFFF"/>
              </w:rPr>
            </w:pPr>
            <w:r>
              <w:rPr>
                <w:rStyle w:val="eop"/>
                <w:rFonts w:ascii="Arial" w:hAnsi="Arial" w:cs="Arial"/>
                <w:shd w:val="clear" w:color="auto" w:fill="FFFFFF"/>
              </w:rPr>
              <w:t>For students to be able to develop a voice and tone in their writing/talk and to write accurately and in a developed way. They will revise and employ methods and skills encountered in KS3 units</w:t>
            </w:r>
          </w:p>
          <w:p>
            <w:pPr>
              <w:jc w:val="both"/>
              <w:rPr>
                <w:rStyle w:val="eop"/>
                <w:rFonts w:ascii="Arial" w:hAnsi="Arial" w:cs="Arial"/>
                <w:shd w:val="clear" w:color="auto" w:fill="FFFFFF"/>
              </w:rPr>
            </w:pPr>
            <w:r>
              <w:rPr>
                <w:rStyle w:val="eop"/>
                <w:rFonts w:ascii="Arial" w:hAnsi="Arial" w:cs="Arial"/>
                <w:shd w:val="clear" w:color="auto" w:fill="FFFFFF"/>
              </w:rPr>
              <w:t>Students to be introduced to NEA Spoken Language Endorsement where they are required to research, plan and present a speech to an audience.</w:t>
            </w:r>
          </w:p>
          <w:p>
            <w:pPr>
              <w:jc w:val="both"/>
              <w:rPr>
                <w:rStyle w:val="eop"/>
                <w:rFonts w:ascii="Arial" w:hAnsi="Arial" w:cs="Arial"/>
                <w:color w:val="7030A0"/>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Arial" w:hAnsi="Arial" w:cs="Arial"/>
                <w:b/>
                <w:bCs/>
                <w:color w:val="7030A0"/>
                <w:sz w:val="22"/>
                <w:szCs w:val="22"/>
                <w:u w:val="single"/>
              </w:rPr>
            </w:pPr>
            <w:r>
              <w:rPr>
                <w:rFonts w:ascii="Arial" w:eastAsia="Arial" w:hAnsi="Arial" w:cs="Arial"/>
                <w:b/>
                <w:bCs/>
                <w:color w:val="7030A0"/>
                <w:sz w:val="22"/>
                <w:szCs w:val="22"/>
                <w:u w:val="single"/>
              </w:rPr>
              <w:t>Vocabulary</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Abhorrent</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Abominable</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Catastrophic</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Debacle</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Diabolical</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Exasperating</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Futile</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Imperative</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Myriad</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lang w:val="en-US"/>
              </w:rPr>
              <w:t>Vital</w:t>
            </w:r>
          </w:p>
          <w:p>
            <w:pPr>
              <w:pStyle w:val="paragraph"/>
              <w:spacing w:before="0" w:beforeAutospacing="0" w:after="0" w:afterAutospacing="0"/>
              <w:textAlignment w:val="baseline"/>
              <w:rPr>
                <w:rFonts w:ascii="Arial" w:eastAsia="Arial" w:hAnsi="Arial" w:cs="Arial"/>
                <w:b/>
                <w:bCs/>
                <w:color w:val="7030A0"/>
                <w:sz w:val="22"/>
                <w:szCs w:val="22"/>
              </w:rPr>
            </w:pPr>
          </w:p>
          <w:p>
            <w:pPr>
              <w:pStyle w:val="paragraph"/>
              <w:spacing w:before="0" w:beforeAutospacing="0" w:after="0" w:afterAutospacing="0"/>
              <w:textAlignment w:val="baseline"/>
              <w:rPr>
                <w:rFonts w:ascii="Arial" w:eastAsia="Arial" w:hAnsi="Arial" w:cs="Arial"/>
                <w:b/>
                <w:bCs/>
                <w:color w:val="7030A0"/>
                <w:sz w:val="22"/>
                <w:szCs w:val="22"/>
                <w:u w:val="single"/>
              </w:rPr>
            </w:pPr>
            <w:r>
              <w:rPr>
                <w:rFonts w:ascii="Arial" w:eastAsia="Arial" w:hAnsi="Arial" w:cs="Arial"/>
                <w:b/>
                <w:bCs/>
                <w:color w:val="7030A0"/>
                <w:sz w:val="22"/>
                <w:szCs w:val="22"/>
                <w:u w:val="single"/>
              </w:rPr>
              <w:t>Reading</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rPr>
              <w:t>Strategic reading – before, during, after</w:t>
            </w:r>
          </w:p>
          <w:p>
            <w:pPr>
              <w:pStyle w:val="paragraph"/>
              <w:spacing w:before="0" w:beforeAutospacing="0" w:after="0" w:afterAutospacing="0"/>
              <w:textAlignment w:val="baseline"/>
              <w:rPr>
                <w:rFonts w:ascii="Arial" w:eastAsia="Arial" w:hAnsi="Arial" w:cs="Arial"/>
                <w:b/>
                <w:bCs/>
                <w:color w:val="7030A0"/>
                <w:sz w:val="22"/>
                <w:szCs w:val="22"/>
              </w:rPr>
            </w:pPr>
            <w:r>
              <w:rPr>
                <w:rFonts w:ascii="Arial" w:eastAsia="Arial" w:hAnsi="Arial" w:cs="Arial"/>
                <w:b/>
                <w:bCs/>
                <w:color w:val="7030A0"/>
                <w:sz w:val="22"/>
                <w:szCs w:val="22"/>
              </w:rPr>
              <w:t xml:space="preserve">Reading a range of </w:t>
            </w:r>
            <w:proofErr w:type="spellStart"/>
            <w:r>
              <w:rPr>
                <w:rFonts w:ascii="Arial" w:eastAsia="Arial" w:hAnsi="Arial" w:cs="Arial"/>
                <w:b/>
                <w:bCs/>
                <w:color w:val="7030A0"/>
                <w:sz w:val="22"/>
                <w:szCs w:val="22"/>
              </w:rPr>
              <w:t>non fiction</w:t>
            </w:r>
            <w:proofErr w:type="spellEnd"/>
            <w:r>
              <w:rPr>
                <w:rFonts w:ascii="Arial" w:eastAsia="Arial" w:hAnsi="Arial" w:cs="Arial"/>
                <w:b/>
                <w:bCs/>
                <w:color w:val="7030A0"/>
                <w:sz w:val="22"/>
                <w:szCs w:val="22"/>
              </w:rPr>
              <w:t xml:space="preserve"> 7articles and extracts</w:t>
            </w:r>
          </w:p>
          <w:p>
            <w:pPr>
              <w:pStyle w:val="paragraph"/>
              <w:spacing w:before="0" w:beforeAutospacing="0" w:after="0" w:afterAutospacing="0"/>
              <w:textAlignment w:val="baseline"/>
              <w:rPr>
                <w:rFonts w:ascii="Arial" w:eastAsia="Arial" w:hAnsi="Arial" w:cs="Arial"/>
                <w:b/>
                <w:bCs/>
                <w:color w:val="7030A0"/>
                <w:sz w:val="22"/>
                <w:szCs w:val="22"/>
              </w:rPr>
            </w:pP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3: Jekyll and Hyde</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4: Anthology Poetry</w:t>
            </w:r>
          </w:p>
        </w:tc>
      </w:tr>
      <w:tr>
        <w:trPr>
          <w:trHeight w:val="975"/>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rPr>
                <w:rStyle w:val="normaltextrun"/>
                <w:rFonts w:ascii="Arial" w:hAnsi="Arial" w:cs="Arial"/>
                <w:b/>
                <w:bCs/>
                <w:color w:val="000000"/>
                <w:u w:val="single"/>
                <w:shd w:val="clear" w:color="auto" w:fill="FFFFFF"/>
              </w:rPr>
            </w:pPr>
            <w:r>
              <w:rPr>
                <w:rStyle w:val="normaltextrun"/>
                <w:rFonts w:ascii="Arial" w:eastAsia="Times New Roman" w:hAnsi="Arial" w:cs="Arial"/>
                <w:color w:val="000000"/>
                <w:shd w:val="clear" w:color="auto" w:fill="FFFFFF"/>
                <w:lang w:val="en-GB" w:eastAsia="en-GB"/>
              </w:rPr>
              <w:t>An exploration of the characters, themes and genre in the novella. Students will develop responses to extracts and linking them to the whole novel using the academic style developed in Term 1 and KS3. Skills of inference and analysis encountered throughout the course will be applied to a more complex text. The choice of novel currently builds on the study of the Gothic text ‘Frankenstein’ in year 8 and extracts taught in year 9.</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t>Vocabulary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 xml:space="preserve">Atavistic </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 xml:space="preserve">Conform </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Primitive</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Duality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 xml:space="preserve">Catalyst </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Patriarchy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Radical</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 xml:space="preserve">Repressive </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Inherent</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Subvert</w:t>
            </w:r>
          </w:p>
          <w:p>
            <w:pPr>
              <w:pStyle w:val="paragraph"/>
              <w:spacing w:before="0" w:beforeAutospacing="0" w:after="0" w:afterAutospacing="0"/>
              <w:textAlignment w:val="baseline"/>
              <w:rPr>
                <w:rFonts w:ascii="Arial" w:eastAsiaTheme="minorEastAsia" w:hAnsi="Arial" w:cs="Arial"/>
                <w:b/>
                <w:bCs/>
                <w:color w:val="7030A0"/>
                <w:sz w:val="22"/>
                <w:szCs w:val="22"/>
                <w:u w:val="single"/>
              </w:rPr>
            </w:pP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t>Reading</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Strategic reading – before, during, after</w:t>
            </w:r>
          </w:p>
          <w:p>
            <w:pPr>
              <w:pStyle w:val="paragraph"/>
              <w:spacing w:before="0" w:beforeAutospacing="0" w:after="0" w:afterAutospacing="0"/>
              <w:textAlignment w:val="baseline"/>
              <w:rPr>
                <w:rFonts w:ascii="Arial" w:eastAsia="Arial" w:hAnsi="Arial" w:cs="Arial"/>
                <w:b/>
                <w:bCs/>
                <w:color w:val="000000" w:themeColor="text1"/>
              </w:rPr>
            </w:pPr>
            <w:r>
              <w:rPr>
                <w:rFonts w:ascii="Arial" w:eastAsiaTheme="minorEastAsia" w:hAnsi="Arial" w:cs="Arial"/>
                <w:b/>
                <w:bCs/>
                <w:color w:val="7030A0"/>
                <w:sz w:val="22"/>
                <w:szCs w:val="22"/>
                <w:lang w:val="en-US" w:eastAsia="en-US"/>
              </w:rPr>
              <w:t>Literary Canon</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Style w:val="normaltextrun"/>
                <w:rFonts w:ascii="Arial" w:hAnsi="Arial" w:cs="Arial"/>
                <w:color w:val="000000"/>
                <w:shd w:val="clear" w:color="auto" w:fill="FFFFFF"/>
              </w:rPr>
            </w:pPr>
            <w:r>
              <w:rPr>
                <w:rStyle w:val="normaltextrun"/>
                <w:rFonts w:ascii="Arial" w:hAnsi="Arial" w:cs="Arial"/>
                <w:color w:val="000000"/>
                <w:shd w:val="clear" w:color="auto" w:fill="FFFFFF"/>
              </w:rPr>
              <w:lastRenderedPageBreak/>
              <w:t>To revisit the GCSE anthology poetry studied in year 9 and begin finding links between them in order to develop understanding of the poems and the ability to compare them. Students will develop skills in analysis and comparison building on what they have learnt at KS3.</w:t>
            </w:r>
          </w:p>
          <w:p>
            <w:pPr>
              <w:spacing w:line="276" w:lineRule="auto"/>
              <w:jc w:val="both"/>
              <w:rPr>
                <w:rStyle w:val="eop"/>
                <w:rFonts w:ascii="Arial" w:hAnsi="Arial" w:cs="Arial"/>
                <w:color w:val="000000"/>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lastRenderedPageBreak/>
              <w:t>Keywords for this Unit</w:t>
            </w: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t>Vocabulary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Catalyst</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Conform</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Corruption</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Ephemeral</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Futility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Hierarchy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Inferior</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Oppression</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Patriarchy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Subvert.</w:t>
            </w:r>
          </w:p>
          <w:p>
            <w:pPr>
              <w:pStyle w:val="paragraph"/>
              <w:spacing w:before="0" w:beforeAutospacing="0" w:after="0" w:afterAutospacing="0"/>
              <w:textAlignment w:val="baseline"/>
              <w:rPr>
                <w:rFonts w:ascii="Arial" w:eastAsiaTheme="minorEastAsia" w:hAnsi="Arial" w:cs="Arial"/>
                <w:b/>
                <w:bCs/>
                <w:color w:val="7030A0"/>
                <w:sz w:val="22"/>
                <w:szCs w:val="22"/>
                <w:u w:val="single"/>
              </w:rPr>
            </w:pP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t>Reading</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Strategic reading – before, during, after</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Literary Canon</w:t>
            </w:r>
          </w:p>
          <w:p>
            <w:pPr>
              <w:spacing w:line="276" w:lineRule="auto"/>
              <w:rPr>
                <w:rFonts w:ascii="Arial" w:eastAsia="Arial" w:hAnsi="Arial" w:cs="Arial"/>
                <w:b/>
                <w:bCs/>
                <w:color w:val="000000" w:themeColor="text1"/>
              </w:rPr>
            </w:pPr>
          </w:p>
        </w:tc>
      </w:tr>
      <w:bookmarkEnd w:id="0"/>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lang w:val="en-GB"/>
              </w:rPr>
              <w:lastRenderedPageBreak/>
              <w:t>Unit 5: Romeo and Juliet and Language skills</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6: Unseen poetry</w:t>
            </w:r>
          </w:p>
        </w:tc>
      </w:tr>
      <w:tr>
        <w:trPr>
          <w:trHeight w:val="975"/>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rPr>
                <w:rStyle w:val="normaltextrun"/>
                <w:rFonts w:ascii="Arial" w:eastAsia="Times New Roman" w:hAnsi="Arial" w:cs="Arial"/>
                <w:color w:val="000000"/>
                <w:shd w:val="clear" w:color="auto" w:fill="FFFFFF"/>
                <w:lang w:val="en-GB" w:eastAsia="en-GB"/>
              </w:rPr>
            </w:pPr>
            <w:r>
              <w:rPr>
                <w:rStyle w:val="normaltextrun"/>
                <w:rFonts w:ascii="Arial" w:eastAsia="Times New Roman" w:hAnsi="Arial" w:cs="Arial"/>
                <w:color w:val="000000"/>
                <w:shd w:val="clear" w:color="auto" w:fill="FFFFFF"/>
                <w:lang w:val="en-GB" w:eastAsia="en-GB"/>
              </w:rPr>
              <w:t>For students to develop a knowledge of the contexts of the play and to understand the plot line and be familiar with characters in preparation for study at Year 11. Building on year 9 studies of Shakespearean tragedies students will develop understanding of form and become increasing familiar with the language.</w:t>
            </w:r>
          </w:p>
          <w:p>
            <w:pPr>
              <w:rPr>
                <w:rStyle w:val="normaltextrun"/>
                <w:rFonts w:ascii="Arial" w:eastAsia="Times New Roman" w:hAnsi="Arial" w:cs="Arial"/>
                <w:color w:val="000000"/>
                <w:shd w:val="clear" w:color="auto" w:fill="FFFFFF"/>
                <w:lang w:val="en-GB" w:eastAsia="en-GB"/>
              </w:rPr>
            </w:pPr>
            <w:r>
              <w:rPr>
                <w:rStyle w:val="normaltextrun"/>
                <w:rFonts w:ascii="Arial" w:eastAsia="Times New Roman" w:hAnsi="Arial" w:cs="Arial"/>
                <w:color w:val="000000"/>
                <w:shd w:val="clear" w:color="auto" w:fill="FFFFFF"/>
                <w:lang w:val="en-GB" w:eastAsia="en-GB"/>
              </w:rPr>
              <w:t>Part of the unit will develop skills of analysis in response to non-fiction unseen texts build on skills introduced in KS3 including comparison. Writing skills explored in First times unit and built upon to include opinion writing.</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t>Vocabulary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Patriarchal</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Masculinity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Conform</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Subvert</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Conflict</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Hierarchy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Provocative</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Repressive</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 xml:space="preserve">Catalyst </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Misogynistic</w:t>
            </w:r>
          </w:p>
          <w:p>
            <w:pPr>
              <w:pStyle w:val="paragraph"/>
              <w:spacing w:before="0" w:beforeAutospacing="0" w:after="0" w:afterAutospacing="0"/>
              <w:textAlignment w:val="baseline"/>
              <w:rPr>
                <w:rFonts w:ascii="Arial" w:eastAsiaTheme="minorEastAsia" w:hAnsi="Arial" w:cs="Arial"/>
                <w:b/>
                <w:bCs/>
                <w:color w:val="7030A0"/>
                <w:sz w:val="22"/>
                <w:szCs w:val="22"/>
              </w:rPr>
            </w:pP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lastRenderedPageBreak/>
              <w:t>Reading</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Strategic reading – before, during, after</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Literary Canon</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Metacognitive approach to the exam</w:t>
            </w:r>
          </w:p>
          <w:p>
            <w:pPr>
              <w:pStyle w:val="paragraph"/>
              <w:spacing w:before="0" w:beforeAutospacing="0" w:after="0" w:afterAutospacing="0"/>
              <w:textAlignment w:val="baseline"/>
              <w:rPr>
                <w:rFonts w:ascii="Arial" w:eastAsia="Arial" w:hAnsi="Arial" w:cs="Arial"/>
                <w:b/>
                <w:bCs/>
                <w:color w:val="000000" w:themeColor="text1"/>
              </w:rPr>
            </w:pP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spacing w:line="276" w:lineRule="auto"/>
              <w:jc w:val="both"/>
              <w:rPr>
                <w:rStyle w:val="eop"/>
                <w:rFonts w:ascii="Arial" w:hAnsi="Arial" w:cs="Arial"/>
                <w:color w:val="000000"/>
                <w:shd w:val="clear" w:color="auto" w:fill="FFFFFF"/>
              </w:rPr>
            </w:pPr>
            <w:r>
              <w:rPr>
                <w:rStyle w:val="normaltextrun"/>
                <w:rFonts w:ascii="Arial" w:hAnsi="Arial" w:cs="Arial"/>
                <w:color w:val="000000"/>
                <w:shd w:val="clear" w:color="auto" w:fill="FFFFFF"/>
              </w:rPr>
              <w:lastRenderedPageBreak/>
              <w:t>For student to develop techniques for approaching unseen poetry and to be able to identify writer’s attitudes and feeling in a variety of texts. The skill of inference and analysis covered KS3 will be employed to develop an understanding of unfamiliar texts. Students will be able to compare challenging texts building on skills covered in year 9.</w:t>
            </w: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t>Vocabulary</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Contempt</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Despair</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Disillusioned</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Enraged</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Exasperated</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Fondness</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Futile</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Omnipotent</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Perspective</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Sentimental</w:t>
            </w:r>
          </w:p>
          <w:p>
            <w:pPr>
              <w:pStyle w:val="paragraph"/>
              <w:spacing w:before="0" w:beforeAutospacing="0" w:after="0" w:afterAutospacing="0"/>
              <w:textAlignment w:val="baseline"/>
              <w:rPr>
                <w:rFonts w:ascii="Arial" w:eastAsiaTheme="minorEastAsia" w:hAnsi="Arial" w:cs="Arial"/>
                <w:b/>
                <w:bCs/>
                <w:color w:val="7030A0"/>
                <w:sz w:val="22"/>
                <w:szCs w:val="22"/>
              </w:rPr>
            </w:pPr>
          </w:p>
          <w:p>
            <w:pPr>
              <w:pStyle w:val="paragraph"/>
              <w:spacing w:before="0" w:beforeAutospacing="0" w:after="0" w:afterAutospacing="0"/>
              <w:textAlignment w:val="baseline"/>
              <w:rPr>
                <w:rFonts w:ascii="Arial" w:eastAsiaTheme="minorEastAsia" w:hAnsi="Arial" w:cs="Arial"/>
                <w:b/>
                <w:bCs/>
                <w:color w:val="7030A0"/>
                <w:sz w:val="22"/>
                <w:szCs w:val="22"/>
                <w:u w:val="single"/>
              </w:rPr>
            </w:pPr>
            <w:r>
              <w:rPr>
                <w:rFonts w:ascii="Arial" w:eastAsiaTheme="minorEastAsia" w:hAnsi="Arial" w:cs="Arial"/>
                <w:b/>
                <w:bCs/>
                <w:color w:val="7030A0"/>
                <w:sz w:val="22"/>
                <w:szCs w:val="22"/>
                <w:u w:val="single"/>
              </w:rPr>
              <w:lastRenderedPageBreak/>
              <w:t>Reading</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Strategic reading – before, during, after</w:t>
            </w:r>
          </w:p>
          <w:p>
            <w:pPr>
              <w:pStyle w:val="paragraph"/>
              <w:spacing w:before="0" w:beforeAutospacing="0" w:after="0" w:afterAutospacing="0"/>
              <w:textAlignment w:val="baseline"/>
              <w:rPr>
                <w:rFonts w:ascii="Arial" w:eastAsiaTheme="minorEastAsia" w:hAnsi="Arial" w:cs="Arial"/>
                <w:b/>
                <w:bCs/>
                <w:color w:val="7030A0"/>
                <w:sz w:val="22"/>
                <w:szCs w:val="22"/>
              </w:rPr>
            </w:pPr>
            <w:r>
              <w:rPr>
                <w:rFonts w:ascii="Arial" w:eastAsiaTheme="minorEastAsia" w:hAnsi="Arial" w:cs="Arial"/>
                <w:b/>
                <w:bCs/>
                <w:color w:val="7030A0"/>
                <w:sz w:val="22"/>
                <w:szCs w:val="22"/>
              </w:rPr>
              <w:t>Literary Canon</w:t>
            </w:r>
          </w:p>
          <w:p>
            <w:pPr>
              <w:rPr>
                <w:rFonts w:ascii="Arial" w:eastAsia="Trebuchet MS" w:hAnsi="Arial" w:cs="Arial"/>
                <w:b/>
                <w:color w:val="7030A0"/>
              </w:rPr>
            </w:pPr>
            <w:r>
              <w:rPr>
                <w:rFonts w:ascii="Arial" w:eastAsia="Trebuchet MS" w:hAnsi="Arial" w:cs="Arial"/>
                <w:b/>
                <w:color w:val="7030A0"/>
              </w:rPr>
              <w:t>Metacognitive approach to the exam</w:t>
            </w:r>
          </w:p>
          <w:p>
            <w:pPr>
              <w:spacing w:line="276" w:lineRule="auto"/>
              <w:rPr>
                <w:rFonts w:ascii="Arial" w:eastAsia="Arial" w:hAnsi="Arial" w:cs="Arial"/>
                <w:b/>
                <w:bCs/>
                <w:color w:val="000000" w:themeColor="text1"/>
              </w:rPr>
            </w:pPr>
          </w:p>
        </w:tc>
      </w:tr>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7030A0"/>
          </w:tcPr>
          <w:p>
            <w:pPr>
              <w:spacing w:line="276" w:lineRule="auto"/>
              <w:jc w:val="center"/>
              <w:rPr>
                <w:rFonts w:ascii="Arial" w:eastAsia="Arial" w:hAnsi="Arial" w:cs="Arial"/>
                <w:b/>
                <w:bCs/>
                <w:sz w:val="32"/>
                <w:szCs w:val="32"/>
              </w:rPr>
            </w:pPr>
            <w:r>
              <w:rPr>
                <w:rFonts w:ascii="Arial" w:eastAsia="Arial" w:hAnsi="Arial" w:cs="Arial"/>
                <w:b/>
                <w:bCs/>
                <w:color w:val="FFFFFF" w:themeColor="background1"/>
                <w:sz w:val="32"/>
                <w:szCs w:val="32"/>
              </w:rPr>
              <w:lastRenderedPageBreak/>
              <w:t>Year 11 English Language and English Literature</w:t>
            </w:r>
          </w:p>
        </w:tc>
      </w:tr>
      <w:tr>
        <w:trPr>
          <w:trHeight w:val="420"/>
          <w:jc w:val="center"/>
        </w:trPr>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Unit 1: Romeo and Juliet</w:t>
            </w:r>
          </w:p>
        </w:tc>
        <w:tc>
          <w:tcPr>
            <w:tcW w:w="69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hAnsi="Arial" w:cs="Arial"/>
                <w:b/>
                <w:bCs/>
                <w:color w:val="FFFFFF" w:themeColor="background1"/>
                <w:sz w:val="24"/>
                <w:szCs w:val="24"/>
              </w:rPr>
              <w:t>Unit 2: Language skills- revision for mocks</w:t>
            </w:r>
          </w:p>
        </w:tc>
      </w:tr>
      <w:tr>
        <w:trPr>
          <w:trHeight w:val="975"/>
          <w:jc w:val="center"/>
        </w:trPr>
        <w:tc>
          <w:tcPr>
            <w:tcW w:w="6941" w:type="dxa"/>
            <w:tcBorders>
              <w:top w:val="single" w:sz="8" w:space="0" w:color="auto"/>
              <w:left w:val="single" w:sz="8" w:space="0" w:color="auto"/>
              <w:bottom w:val="single" w:sz="8" w:space="0" w:color="auto"/>
              <w:right w:val="single" w:sz="8" w:space="0" w:color="auto"/>
            </w:tcBorders>
          </w:tcPr>
          <w:p>
            <w:pPr>
              <w:rPr>
                <w:rFonts w:ascii="Arial" w:eastAsia="Times New Roman" w:hAnsi="Arial" w:cs="Arial"/>
              </w:rPr>
            </w:pPr>
            <w:r>
              <w:rPr>
                <w:rFonts w:ascii="Arial" w:eastAsia="Times New Roman" w:hAnsi="Arial" w:cs="Arial"/>
              </w:rPr>
              <w:t>For students to explore key themes /ideas, develop analysis skills when responding to an extract and a whole text in an academic style.</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57" w:lineRule="auto"/>
              <w:rPr>
                <w:rFonts w:ascii="Arial" w:eastAsiaTheme="minorEastAsia" w:hAnsi="Arial" w:cs="Arial"/>
                <w:b/>
                <w:color w:val="7030A0"/>
                <w:u w:val="single"/>
              </w:rPr>
            </w:pPr>
            <w:r>
              <w:rPr>
                <w:rFonts w:ascii="Arial" w:eastAsiaTheme="minorEastAsia" w:hAnsi="Arial" w:cs="Arial"/>
                <w:b/>
                <w:color w:val="7030A0"/>
                <w:u w:val="single"/>
              </w:rPr>
              <w:t>Vocabulary</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Patriarchal</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Masculinity</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Conform</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Subvert</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Conflict</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Hierarchy</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Provocative</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Repressive</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 xml:space="preserve">Catalyst </w:t>
            </w:r>
          </w:p>
          <w:p>
            <w:pPr>
              <w:spacing w:line="257" w:lineRule="auto"/>
              <w:rPr>
                <w:rFonts w:ascii="Arial" w:eastAsiaTheme="minorEastAsia" w:hAnsi="Arial" w:cs="Arial"/>
                <w:b/>
                <w:color w:val="7030A0"/>
                <w:lang w:val="en-GB"/>
              </w:rPr>
            </w:pPr>
            <w:r>
              <w:rPr>
                <w:rFonts w:ascii="Arial" w:eastAsiaTheme="minorEastAsia" w:hAnsi="Arial" w:cs="Arial"/>
                <w:b/>
                <w:bCs/>
                <w:color w:val="7030A0"/>
                <w:lang w:val="en-GB"/>
              </w:rPr>
              <w:t>Misogynistic</w:t>
            </w:r>
          </w:p>
          <w:p>
            <w:pPr>
              <w:spacing w:line="257" w:lineRule="auto"/>
              <w:rPr>
                <w:rFonts w:ascii="Arial" w:eastAsiaTheme="minorEastAsia" w:hAnsi="Arial" w:cs="Arial"/>
                <w:b/>
                <w:bCs/>
                <w:color w:val="7030A0"/>
                <w:lang w:val="en-GB"/>
              </w:rPr>
            </w:pPr>
          </w:p>
          <w:p>
            <w:pPr>
              <w:spacing w:line="257" w:lineRule="auto"/>
              <w:rPr>
                <w:rFonts w:ascii="Arial" w:eastAsiaTheme="minorEastAsia" w:hAnsi="Arial" w:cs="Arial"/>
                <w:b/>
                <w:color w:val="7030A0"/>
                <w:u w:val="single"/>
                <w:lang w:val="en-GB"/>
              </w:rPr>
            </w:pPr>
            <w:r>
              <w:rPr>
                <w:rFonts w:ascii="Arial" w:eastAsiaTheme="minorEastAsia" w:hAnsi="Arial" w:cs="Arial"/>
                <w:b/>
                <w:color w:val="7030A0"/>
                <w:u w:val="single"/>
                <w:lang w:val="en-GB"/>
              </w:rPr>
              <w:t>Reading</w:t>
            </w:r>
          </w:p>
          <w:p>
            <w:pPr>
              <w:spacing w:line="257" w:lineRule="auto"/>
              <w:rPr>
                <w:rFonts w:ascii="Arial" w:eastAsiaTheme="minorEastAsia" w:hAnsi="Arial" w:cs="Arial"/>
                <w:b/>
                <w:color w:val="7030A0"/>
                <w:lang w:val="en-GB"/>
              </w:rPr>
            </w:pPr>
            <w:r>
              <w:rPr>
                <w:rFonts w:ascii="Arial" w:eastAsiaTheme="minorEastAsia" w:hAnsi="Arial" w:cs="Arial"/>
                <w:b/>
                <w:color w:val="7030A0"/>
                <w:lang w:val="en-GB"/>
              </w:rPr>
              <w:t>Strategic reading – before, during, after</w:t>
            </w:r>
          </w:p>
          <w:p>
            <w:pPr>
              <w:spacing w:line="257" w:lineRule="auto"/>
              <w:rPr>
                <w:rFonts w:ascii="Arial" w:eastAsiaTheme="minorEastAsia" w:hAnsi="Arial" w:cs="Arial"/>
                <w:b/>
                <w:color w:val="7030A0"/>
                <w:lang w:val="en-GB"/>
              </w:rPr>
            </w:pPr>
            <w:r>
              <w:rPr>
                <w:rFonts w:ascii="Arial" w:eastAsiaTheme="minorEastAsia" w:hAnsi="Arial" w:cs="Arial"/>
                <w:b/>
                <w:color w:val="7030A0"/>
                <w:lang w:val="en-GB"/>
              </w:rPr>
              <w:t>Literary Canon</w:t>
            </w:r>
          </w:p>
          <w:p>
            <w:pPr>
              <w:spacing w:line="257" w:lineRule="auto"/>
              <w:rPr>
                <w:rFonts w:ascii="Arial" w:eastAsiaTheme="minorEastAsia" w:hAnsi="Arial" w:cs="Arial"/>
                <w:b/>
                <w:color w:val="7030A0"/>
                <w:lang w:val="en-GB"/>
              </w:rPr>
            </w:pPr>
            <w:r>
              <w:rPr>
                <w:rFonts w:ascii="Arial" w:eastAsiaTheme="minorEastAsia" w:hAnsi="Arial" w:cs="Arial"/>
                <w:b/>
                <w:color w:val="7030A0"/>
                <w:lang w:val="en-GB"/>
              </w:rPr>
              <w:t>Metacognitive approach to the exam</w:t>
            </w:r>
          </w:p>
          <w:p>
            <w:pPr>
              <w:spacing w:line="257" w:lineRule="auto"/>
              <w:rPr>
                <w:rFonts w:ascii="Arial" w:eastAsiaTheme="minorEastAsia" w:hAnsi="Arial" w:cs="Arial"/>
                <w:b/>
              </w:rPr>
            </w:pPr>
          </w:p>
        </w:tc>
        <w:tc>
          <w:tcPr>
            <w:tcW w:w="6941" w:type="dxa"/>
            <w:tcBorders>
              <w:top w:val="single" w:sz="8" w:space="0" w:color="auto"/>
              <w:left w:val="single" w:sz="8" w:space="0" w:color="auto"/>
              <w:bottom w:val="single" w:sz="8" w:space="0" w:color="auto"/>
              <w:right w:val="single" w:sz="8" w:space="0" w:color="000000" w:themeColor="text1"/>
            </w:tcBorders>
          </w:tcPr>
          <w:p>
            <w:pPr>
              <w:spacing w:line="257" w:lineRule="auto"/>
              <w:jc w:val="both"/>
              <w:rPr>
                <w:rFonts w:ascii="Arial" w:eastAsia="Times New Roman" w:hAnsi="Arial" w:cs="Arial"/>
              </w:rPr>
            </w:pPr>
            <w:r>
              <w:rPr>
                <w:rFonts w:ascii="Arial" w:eastAsia="Times New Roman" w:hAnsi="Arial" w:cs="Arial"/>
              </w:rPr>
              <w:t>For students to revise and develop key reading and writing skills for Language exams. For students to experience mock conditions.</w:t>
            </w:r>
          </w:p>
          <w:p>
            <w:pPr>
              <w:spacing w:line="257" w:lineRule="auto"/>
              <w:jc w:val="both"/>
              <w:rPr>
                <w:rStyle w:val="normaltextrun"/>
                <w:rFonts w:ascii="Arial" w:eastAsia="Times New Roman" w:hAnsi="Arial" w:cs="Arial"/>
              </w:rPr>
            </w:pPr>
            <w:r>
              <w:rPr>
                <w:rFonts w:ascii="Arial" w:eastAsia="Times New Roman" w:hAnsi="Arial" w:cs="Arial"/>
              </w:rPr>
              <w:t>If Literature mock is included revision and preparation for the exam</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rPr>
                <w:rFonts w:ascii="Arial" w:hAnsi="Arial" w:cs="Arial"/>
                <w:b/>
                <w:bCs/>
                <w:color w:val="7030A0"/>
                <w:u w:val="single"/>
                <w:shd w:val="clear" w:color="auto" w:fill="FFFFFF"/>
                <w:lang w:val="en-GB"/>
              </w:rPr>
            </w:pPr>
            <w:r>
              <w:rPr>
                <w:rFonts w:ascii="Arial" w:hAnsi="Arial" w:cs="Arial"/>
                <w:b/>
                <w:bCs/>
                <w:color w:val="7030A0"/>
                <w:u w:val="single"/>
                <w:shd w:val="clear" w:color="auto" w:fill="FFFFFF"/>
                <w:lang w:val="en-GB"/>
              </w:rPr>
              <w:t>Vocabulary</w:t>
            </w:r>
          </w:p>
          <w:p>
            <w:pPr>
              <w:rPr>
                <w:rFonts w:ascii="Arial" w:hAnsi="Arial" w:cs="Arial"/>
                <w:b/>
                <w:bCs/>
                <w:color w:val="7030A0"/>
                <w:shd w:val="clear" w:color="auto" w:fill="FFFFFF"/>
                <w:lang w:val="en-GB"/>
              </w:rPr>
            </w:pPr>
            <w:r>
              <w:rPr>
                <w:rFonts w:ascii="Arial" w:hAnsi="Arial" w:cs="Arial"/>
                <w:b/>
                <w:bCs/>
                <w:color w:val="7030A0"/>
                <w:shd w:val="clear" w:color="auto" w:fill="FFFFFF"/>
                <w:lang w:val="en-GB"/>
              </w:rPr>
              <w:t xml:space="preserve">Vocab words from Romeo and Juliet unit, </w:t>
            </w:r>
            <w:proofErr w:type="spellStart"/>
            <w:r>
              <w:rPr>
                <w:rFonts w:ascii="Arial" w:hAnsi="Arial" w:cs="Arial"/>
                <w:b/>
                <w:bCs/>
                <w:color w:val="7030A0"/>
                <w:shd w:val="clear" w:color="auto" w:fill="FFFFFF"/>
                <w:lang w:val="en-GB"/>
              </w:rPr>
              <w:t>A</w:t>
            </w:r>
            <w:proofErr w:type="spellEnd"/>
            <w:r>
              <w:rPr>
                <w:rFonts w:ascii="Arial" w:hAnsi="Arial" w:cs="Arial"/>
                <w:b/>
                <w:bCs/>
                <w:color w:val="7030A0"/>
                <w:shd w:val="clear" w:color="auto" w:fill="FFFFFF"/>
                <w:lang w:val="en-GB"/>
              </w:rPr>
              <w:t xml:space="preserve"> Inspector Calls unit, First Times unit</w:t>
            </w:r>
          </w:p>
          <w:p>
            <w:pPr>
              <w:rPr>
                <w:rFonts w:ascii="Arial" w:hAnsi="Arial" w:cs="Arial"/>
                <w:b/>
                <w:bCs/>
                <w:color w:val="7030A0"/>
                <w:u w:val="single"/>
                <w:shd w:val="clear" w:color="auto" w:fill="FFFFFF"/>
                <w:lang w:val="en-GB"/>
              </w:rPr>
            </w:pPr>
          </w:p>
          <w:p>
            <w:pPr>
              <w:rPr>
                <w:rFonts w:ascii="Arial" w:hAnsi="Arial" w:cs="Arial"/>
                <w:b/>
                <w:bCs/>
                <w:color w:val="7030A0"/>
                <w:u w:val="single"/>
                <w:shd w:val="clear" w:color="auto" w:fill="FFFFFF"/>
                <w:lang w:val="en-GB"/>
              </w:rPr>
            </w:pPr>
            <w:r>
              <w:rPr>
                <w:rFonts w:ascii="Arial" w:hAnsi="Arial" w:cs="Arial"/>
                <w:b/>
                <w:bCs/>
                <w:color w:val="7030A0"/>
                <w:u w:val="single"/>
                <w:shd w:val="clear" w:color="auto" w:fill="FFFFFF"/>
                <w:lang w:val="en-GB"/>
              </w:rPr>
              <w:t>Reading</w:t>
            </w:r>
          </w:p>
          <w:p>
            <w:pPr>
              <w:rPr>
                <w:rFonts w:ascii="Arial" w:hAnsi="Arial" w:cs="Arial"/>
                <w:b/>
                <w:bCs/>
                <w:color w:val="7030A0"/>
                <w:shd w:val="clear" w:color="auto" w:fill="FFFFFF"/>
                <w:lang w:val="en-GB"/>
              </w:rPr>
            </w:pPr>
            <w:r>
              <w:rPr>
                <w:rFonts w:ascii="Arial" w:hAnsi="Arial" w:cs="Arial"/>
                <w:b/>
                <w:bCs/>
                <w:color w:val="7030A0"/>
                <w:shd w:val="clear" w:color="auto" w:fill="FFFFFF"/>
                <w:lang w:val="en-GB"/>
              </w:rPr>
              <w:t>Strategic reading – before, during, after</w:t>
            </w:r>
          </w:p>
          <w:p>
            <w:pPr>
              <w:rPr>
                <w:rFonts w:ascii="Arial" w:hAnsi="Arial" w:cs="Arial"/>
                <w:b/>
                <w:bCs/>
                <w:color w:val="7030A0"/>
                <w:shd w:val="clear" w:color="auto" w:fill="FFFFFF"/>
                <w:lang w:val="en-GB"/>
              </w:rPr>
            </w:pPr>
            <w:r>
              <w:rPr>
                <w:rFonts w:ascii="Arial" w:hAnsi="Arial" w:cs="Arial"/>
                <w:b/>
                <w:bCs/>
                <w:color w:val="7030A0"/>
                <w:shd w:val="clear" w:color="auto" w:fill="FFFFFF"/>
                <w:lang w:val="en-GB"/>
              </w:rPr>
              <w:t>Literary Canon</w:t>
            </w:r>
          </w:p>
          <w:p>
            <w:pPr>
              <w:rPr>
                <w:rFonts w:ascii="Arial" w:hAnsi="Arial" w:cs="Arial"/>
                <w:b/>
                <w:bCs/>
                <w:color w:val="7030A0"/>
                <w:shd w:val="clear" w:color="auto" w:fill="FFFFFF"/>
                <w:lang w:val="en-GB"/>
              </w:rPr>
            </w:pPr>
            <w:r>
              <w:rPr>
                <w:rFonts w:ascii="Arial" w:hAnsi="Arial" w:cs="Arial"/>
                <w:b/>
                <w:bCs/>
                <w:color w:val="7030A0"/>
                <w:shd w:val="clear" w:color="auto" w:fill="FFFFFF"/>
                <w:lang w:val="en-GB"/>
              </w:rPr>
              <w:t>Metacognitive approach to the exam</w:t>
            </w:r>
          </w:p>
          <w:p>
            <w:pPr>
              <w:rPr>
                <w:rFonts w:ascii="Arial" w:hAnsi="Arial" w:cs="Arial"/>
                <w:b/>
                <w:bCs/>
                <w:color w:val="000000"/>
                <w:u w:val="single"/>
                <w:shd w:val="clear" w:color="auto" w:fill="FFFFFF"/>
              </w:rPr>
            </w:pPr>
          </w:p>
        </w:tc>
      </w:tr>
      <w:tr>
        <w:trPr>
          <w:trHeight w:val="420"/>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57A9"/>
            <w:vAlign w:val="center"/>
          </w:tcPr>
          <w:p>
            <w:pPr>
              <w:spacing w:line="276" w:lineRule="auto"/>
              <w:jc w:val="center"/>
              <w:rPr>
                <w:rFonts w:ascii="Arial" w:hAnsi="Arial" w:cs="Arial"/>
                <w:b/>
                <w:bCs/>
                <w:color w:val="FFFFFF" w:themeColor="background1"/>
                <w:sz w:val="24"/>
                <w:szCs w:val="24"/>
              </w:rPr>
            </w:pPr>
            <w:r>
              <w:rPr>
                <w:rFonts w:ascii="Arial" w:eastAsia="Arial" w:hAnsi="Arial" w:cs="Arial"/>
                <w:b/>
                <w:bCs/>
                <w:color w:val="FFFFFF" w:themeColor="background1"/>
                <w:sz w:val="24"/>
                <w:szCs w:val="24"/>
              </w:rPr>
              <w:t>Unit 3,4 and 5: Revision</w:t>
            </w:r>
          </w:p>
        </w:tc>
      </w:tr>
      <w:tr>
        <w:trPr>
          <w:trHeight w:val="975"/>
          <w:jc w:val="center"/>
        </w:trPr>
        <w:tc>
          <w:tcPr>
            <w:tcW w:w="13882"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pPr>
              <w:pStyle w:val="paragraph"/>
              <w:spacing w:before="0" w:beforeAutospacing="0" w:after="0" w:afterAutospacing="0"/>
              <w:jc w:val="both"/>
              <w:textAlignment w:val="baseline"/>
              <w:rPr>
                <w:rFonts w:ascii="Arial" w:eastAsia="Arial" w:hAnsi="Arial" w:cs="Arial"/>
                <w:b/>
                <w:bCs/>
                <w:color w:val="000000" w:themeColor="text1"/>
                <w:sz w:val="22"/>
                <w:szCs w:val="22"/>
              </w:rPr>
            </w:pPr>
            <w:r>
              <w:rPr>
                <w:rFonts w:ascii="Arial" w:hAnsi="Arial" w:cs="Arial"/>
                <w:sz w:val="22"/>
                <w:szCs w:val="22"/>
                <w:lang w:eastAsia="en-US"/>
              </w:rPr>
              <w:t>For students to revisit all of the key texts and skills required for GCSE exams. To offer opportunities to reread key texts and extracts and to ensure students are exam ready.</w:t>
            </w:r>
          </w:p>
          <w:p>
            <w:pPr>
              <w:rPr>
                <w:rStyle w:val="normaltextrun"/>
                <w:rFonts w:ascii="Arial" w:hAnsi="Arial" w:cs="Arial"/>
                <w:b/>
                <w:bCs/>
                <w:color w:val="000000"/>
                <w:u w:val="single"/>
                <w:shd w:val="clear" w:color="auto" w:fill="FFFFFF"/>
              </w:rPr>
            </w:pPr>
          </w:p>
          <w:p>
            <w:pPr>
              <w:spacing w:line="276" w:lineRule="auto"/>
              <w:rPr>
                <w:rFonts w:ascii="Arial" w:eastAsia="Calibri" w:hAnsi="Arial" w:cs="Arial"/>
                <w:b/>
                <w:bCs/>
                <w:color w:val="000000" w:themeColor="text1"/>
                <w:u w:val="single"/>
                <w:lang w:val="en-GB"/>
              </w:rPr>
            </w:pPr>
            <w:r>
              <w:rPr>
                <w:rFonts w:ascii="Arial" w:eastAsia="Calibri" w:hAnsi="Arial" w:cs="Arial"/>
                <w:b/>
                <w:bCs/>
                <w:color w:val="000000" w:themeColor="text1"/>
                <w:u w:val="single"/>
                <w:lang w:val="en-GB"/>
              </w:rPr>
              <w:t>Keywords for this Unit</w:t>
            </w:r>
          </w:p>
          <w:p>
            <w:pPr>
              <w:spacing w:line="257" w:lineRule="auto"/>
              <w:rPr>
                <w:rFonts w:ascii="Arial" w:eastAsia="Arial" w:hAnsi="Arial" w:cs="Arial"/>
                <w:b/>
                <w:bCs/>
                <w:color w:val="7030A0"/>
              </w:rPr>
            </w:pPr>
            <w:bookmarkStart w:id="2" w:name="_GoBack"/>
            <w:bookmarkEnd w:id="2"/>
            <w:r>
              <w:rPr>
                <w:rFonts w:ascii="Arial" w:eastAsia="Arial" w:hAnsi="Arial" w:cs="Arial"/>
                <w:b/>
                <w:bCs/>
                <w:color w:val="7030A0"/>
              </w:rPr>
              <w:t>All vocab words are revisited during their revision in class.</w:t>
            </w:r>
          </w:p>
          <w:p>
            <w:pPr>
              <w:spacing w:line="257" w:lineRule="auto"/>
              <w:rPr>
                <w:rFonts w:ascii="Arial" w:hAnsi="Arial" w:cs="Arial"/>
                <w:b/>
              </w:rPr>
            </w:pPr>
          </w:p>
        </w:tc>
      </w:tr>
      <w:bookmarkEnd w:id="1"/>
    </w:tbl>
    <w:p>
      <w:pPr>
        <w:rPr>
          <w:rFonts w:ascii="Arial" w:hAnsi="Arial" w:cs="Arial"/>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HenVX2cHOZdH1r" id="d7/M0XFI"/>
  </int:Manifest>
  <int:Observations>
    <int:Content id="d7/M0XFI">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DA95-6ECF-4558-8BB0-DDCA6D2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1459">
      <w:bodyDiv w:val="1"/>
      <w:marLeft w:val="0"/>
      <w:marRight w:val="0"/>
      <w:marTop w:val="0"/>
      <w:marBottom w:val="0"/>
      <w:divBdr>
        <w:top w:val="none" w:sz="0" w:space="0" w:color="auto"/>
        <w:left w:val="none" w:sz="0" w:space="0" w:color="auto"/>
        <w:bottom w:val="none" w:sz="0" w:space="0" w:color="auto"/>
        <w:right w:val="none" w:sz="0" w:space="0" w:color="auto"/>
      </w:divBdr>
      <w:divsChild>
        <w:div w:id="371662149">
          <w:marLeft w:val="0"/>
          <w:marRight w:val="0"/>
          <w:marTop w:val="0"/>
          <w:marBottom w:val="0"/>
          <w:divBdr>
            <w:top w:val="none" w:sz="0" w:space="0" w:color="auto"/>
            <w:left w:val="none" w:sz="0" w:space="0" w:color="auto"/>
            <w:bottom w:val="none" w:sz="0" w:space="0" w:color="auto"/>
            <w:right w:val="none" w:sz="0" w:space="0" w:color="auto"/>
          </w:divBdr>
        </w:div>
        <w:div w:id="1679774110">
          <w:marLeft w:val="0"/>
          <w:marRight w:val="0"/>
          <w:marTop w:val="0"/>
          <w:marBottom w:val="0"/>
          <w:divBdr>
            <w:top w:val="none" w:sz="0" w:space="0" w:color="auto"/>
            <w:left w:val="none" w:sz="0" w:space="0" w:color="auto"/>
            <w:bottom w:val="none" w:sz="0" w:space="0" w:color="auto"/>
            <w:right w:val="none" w:sz="0" w:space="0" w:color="auto"/>
          </w:divBdr>
        </w:div>
        <w:div w:id="1163201178">
          <w:marLeft w:val="0"/>
          <w:marRight w:val="0"/>
          <w:marTop w:val="0"/>
          <w:marBottom w:val="0"/>
          <w:divBdr>
            <w:top w:val="none" w:sz="0" w:space="0" w:color="auto"/>
            <w:left w:val="none" w:sz="0" w:space="0" w:color="auto"/>
            <w:bottom w:val="none" w:sz="0" w:space="0" w:color="auto"/>
            <w:right w:val="none" w:sz="0" w:space="0" w:color="auto"/>
          </w:divBdr>
        </w:div>
        <w:div w:id="1086029396">
          <w:marLeft w:val="0"/>
          <w:marRight w:val="0"/>
          <w:marTop w:val="0"/>
          <w:marBottom w:val="0"/>
          <w:divBdr>
            <w:top w:val="none" w:sz="0" w:space="0" w:color="auto"/>
            <w:left w:val="none" w:sz="0" w:space="0" w:color="auto"/>
            <w:bottom w:val="none" w:sz="0" w:space="0" w:color="auto"/>
            <w:right w:val="none" w:sz="0" w:space="0" w:color="auto"/>
          </w:divBdr>
        </w:div>
      </w:divsChild>
    </w:div>
    <w:div w:id="650908814">
      <w:bodyDiv w:val="1"/>
      <w:marLeft w:val="0"/>
      <w:marRight w:val="0"/>
      <w:marTop w:val="0"/>
      <w:marBottom w:val="0"/>
      <w:divBdr>
        <w:top w:val="none" w:sz="0" w:space="0" w:color="auto"/>
        <w:left w:val="none" w:sz="0" w:space="0" w:color="auto"/>
        <w:bottom w:val="none" w:sz="0" w:space="0" w:color="auto"/>
        <w:right w:val="none" w:sz="0" w:space="0" w:color="auto"/>
      </w:divBdr>
      <w:divsChild>
        <w:div w:id="1097603424">
          <w:marLeft w:val="0"/>
          <w:marRight w:val="0"/>
          <w:marTop w:val="0"/>
          <w:marBottom w:val="0"/>
          <w:divBdr>
            <w:top w:val="none" w:sz="0" w:space="0" w:color="auto"/>
            <w:left w:val="none" w:sz="0" w:space="0" w:color="auto"/>
            <w:bottom w:val="none" w:sz="0" w:space="0" w:color="auto"/>
            <w:right w:val="none" w:sz="0" w:space="0" w:color="auto"/>
          </w:divBdr>
        </w:div>
        <w:div w:id="303850531">
          <w:marLeft w:val="0"/>
          <w:marRight w:val="0"/>
          <w:marTop w:val="0"/>
          <w:marBottom w:val="0"/>
          <w:divBdr>
            <w:top w:val="none" w:sz="0" w:space="0" w:color="auto"/>
            <w:left w:val="none" w:sz="0" w:space="0" w:color="auto"/>
            <w:bottom w:val="none" w:sz="0" w:space="0" w:color="auto"/>
            <w:right w:val="none" w:sz="0" w:space="0" w:color="auto"/>
          </w:divBdr>
        </w:div>
        <w:div w:id="777339042">
          <w:marLeft w:val="0"/>
          <w:marRight w:val="0"/>
          <w:marTop w:val="0"/>
          <w:marBottom w:val="0"/>
          <w:divBdr>
            <w:top w:val="none" w:sz="0" w:space="0" w:color="auto"/>
            <w:left w:val="none" w:sz="0" w:space="0" w:color="auto"/>
            <w:bottom w:val="none" w:sz="0" w:space="0" w:color="auto"/>
            <w:right w:val="none" w:sz="0" w:space="0" w:color="auto"/>
          </w:divBdr>
        </w:div>
        <w:div w:id="608896915">
          <w:marLeft w:val="0"/>
          <w:marRight w:val="0"/>
          <w:marTop w:val="0"/>
          <w:marBottom w:val="0"/>
          <w:divBdr>
            <w:top w:val="none" w:sz="0" w:space="0" w:color="auto"/>
            <w:left w:val="none" w:sz="0" w:space="0" w:color="auto"/>
            <w:bottom w:val="none" w:sz="0" w:space="0" w:color="auto"/>
            <w:right w:val="none" w:sz="0" w:space="0" w:color="auto"/>
          </w:divBdr>
        </w:div>
      </w:divsChild>
    </w:div>
    <w:div w:id="838159044">
      <w:bodyDiv w:val="1"/>
      <w:marLeft w:val="0"/>
      <w:marRight w:val="0"/>
      <w:marTop w:val="0"/>
      <w:marBottom w:val="0"/>
      <w:divBdr>
        <w:top w:val="none" w:sz="0" w:space="0" w:color="auto"/>
        <w:left w:val="none" w:sz="0" w:space="0" w:color="auto"/>
        <w:bottom w:val="none" w:sz="0" w:space="0" w:color="auto"/>
        <w:right w:val="none" w:sz="0" w:space="0" w:color="auto"/>
      </w:divBdr>
      <w:divsChild>
        <w:div w:id="689071306">
          <w:marLeft w:val="0"/>
          <w:marRight w:val="0"/>
          <w:marTop w:val="0"/>
          <w:marBottom w:val="0"/>
          <w:divBdr>
            <w:top w:val="none" w:sz="0" w:space="0" w:color="auto"/>
            <w:left w:val="none" w:sz="0" w:space="0" w:color="auto"/>
            <w:bottom w:val="none" w:sz="0" w:space="0" w:color="auto"/>
            <w:right w:val="none" w:sz="0" w:space="0" w:color="auto"/>
          </w:divBdr>
        </w:div>
        <w:div w:id="1064723848">
          <w:marLeft w:val="0"/>
          <w:marRight w:val="0"/>
          <w:marTop w:val="0"/>
          <w:marBottom w:val="0"/>
          <w:divBdr>
            <w:top w:val="none" w:sz="0" w:space="0" w:color="auto"/>
            <w:left w:val="none" w:sz="0" w:space="0" w:color="auto"/>
            <w:bottom w:val="none" w:sz="0" w:space="0" w:color="auto"/>
            <w:right w:val="none" w:sz="0" w:space="0" w:color="auto"/>
          </w:divBdr>
        </w:div>
        <w:div w:id="653876521">
          <w:marLeft w:val="0"/>
          <w:marRight w:val="0"/>
          <w:marTop w:val="0"/>
          <w:marBottom w:val="0"/>
          <w:divBdr>
            <w:top w:val="none" w:sz="0" w:space="0" w:color="auto"/>
            <w:left w:val="none" w:sz="0" w:space="0" w:color="auto"/>
            <w:bottom w:val="none" w:sz="0" w:space="0" w:color="auto"/>
            <w:right w:val="none" w:sz="0" w:space="0" w:color="auto"/>
          </w:divBdr>
        </w:div>
        <w:div w:id="253710855">
          <w:marLeft w:val="0"/>
          <w:marRight w:val="0"/>
          <w:marTop w:val="0"/>
          <w:marBottom w:val="0"/>
          <w:divBdr>
            <w:top w:val="none" w:sz="0" w:space="0" w:color="auto"/>
            <w:left w:val="none" w:sz="0" w:space="0" w:color="auto"/>
            <w:bottom w:val="none" w:sz="0" w:space="0" w:color="auto"/>
            <w:right w:val="none" w:sz="0" w:space="0" w:color="auto"/>
          </w:divBdr>
        </w:div>
        <w:div w:id="2023119488">
          <w:marLeft w:val="0"/>
          <w:marRight w:val="0"/>
          <w:marTop w:val="0"/>
          <w:marBottom w:val="0"/>
          <w:divBdr>
            <w:top w:val="none" w:sz="0" w:space="0" w:color="auto"/>
            <w:left w:val="none" w:sz="0" w:space="0" w:color="auto"/>
            <w:bottom w:val="none" w:sz="0" w:space="0" w:color="auto"/>
            <w:right w:val="none" w:sz="0" w:space="0" w:color="auto"/>
          </w:divBdr>
        </w:div>
        <w:div w:id="284847402">
          <w:marLeft w:val="0"/>
          <w:marRight w:val="0"/>
          <w:marTop w:val="0"/>
          <w:marBottom w:val="0"/>
          <w:divBdr>
            <w:top w:val="none" w:sz="0" w:space="0" w:color="auto"/>
            <w:left w:val="none" w:sz="0" w:space="0" w:color="auto"/>
            <w:bottom w:val="none" w:sz="0" w:space="0" w:color="auto"/>
            <w:right w:val="none" w:sz="0" w:space="0" w:color="auto"/>
          </w:divBdr>
        </w:div>
        <w:div w:id="1589555">
          <w:marLeft w:val="0"/>
          <w:marRight w:val="0"/>
          <w:marTop w:val="0"/>
          <w:marBottom w:val="0"/>
          <w:divBdr>
            <w:top w:val="none" w:sz="0" w:space="0" w:color="auto"/>
            <w:left w:val="none" w:sz="0" w:space="0" w:color="auto"/>
            <w:bottom w:val="none" w:sz="0" w:space="0" w:color="auto"/>
            <w:right w:val="none" w:sz="0" w:space="0" w:color="auto"/>
          </w:divBdr>
        </w:div>
        <w:div w:id="1446269214">
          <w:marLeft w:val="0"/>
          <w:marRight w:val="0"/>
          <w:marTop w:val="0"/>
          <w:marBottom w:val="0"/>
          <w:divBdr>
            <w:top w:val="none" w:sz="0" w:space="0" w:color="auto"/>
            <w:left w:val="none" w:sz="0" w:space="0" w:color="auto"/>
            <w:bottom w:val="none" w:sz="0" w:space="0" w:color="auto"/>
            <w:right w:val="none" w:sz="0" w:space="0" w:color="auto"/>
          </w:divBdr>
        </w:div>
        <w:div w:id="330842394">
          <w:marLeft w:val="0"/>
          <w:marRight w:val="0"/>
          <w:marTop w:val="0"/>
          <w:marBottom w:val="0"/>
          <w:divBdr>
            <w:top w:val="none" w:sz="0" w:space="0" w:color="auto"/>
            <w:left w:val="none" w:sz="0" w:space="0" w:color="auto"/>
            <w:bottom w:val="none" w:sz="0" w:space="0" w:color="auto"/>
            <w:right w:val="none" w:sz="0" w:space="0" w:color="auto"/>
          </w:divBdr>
        </w:div>
        <w:div w:id="636573050">
          <w:marLeft w:val="0"/>
          <w:marRight w:val="0"/>
          <w:marTop w:val="0"/>
          <w:marBottom w:val="0"/>
          <w:divBdr>
            <w:top w:val="none" w:sz="0" w:space="0" w:color="auto"/>
            <w:left w:val="none" w:sz="0" w:space="0" w:color="auto"/>
            <w:bottom w:val="none" w:sz="0" w:space="0" w:color="auto"/>
            <w:right w:val="none" w:sz="0" w:space="0" w:color="auto"/>
          </w:divBdr>
        </w:div>
        <w:div w:id="1573076264">
          <w:marLeft w:val="0"/>
          <w:marRight w:val="0"/>
          <w:marTop w:val="0"/>
          <w:marBottom w:val="0"/>
          <w:divBdr>
            <w:top w:val="none" w:sz="0" w:space="0" w:color="auto"/>
            <w:left w:val="none" w:sz="0" w:space="0" w:color="auto"/>
            <w:bottom w:val="none" w:sz="0" w:space="0" w:color="auto"/>
            <w:right w:val="none" w:sz="0" w:space="0" w:color="auto"/>
          </w:divBdr>
        </w:div>
      </w:divsChild>
    </w:div>
    <w:div w:id="2037778649">
      <w:bodyDiv w:val="1"/>
      <w:marLeft w:val="0"/>
      <w:marRight w:val="0"/>
      <w:marTop w:val="0"/>
      <w:marBottom w:val="0"/>
      <w:divBdr>
        <w:top w:val="none" w:sz="0" w:space="0" w:color="auto"/>
        <w:left w:val="none" w:sz="0" w:space="0" w:color="auto"/>
        <w:bottom w:val="none" w:sz="0" w:space="0" w:color="auto"/>
        <w:right w:val="none" w:sz="0" w:space="0" w:color="auto"/>
      </w:divBdr>
      <w:divsChild>
        <w:div w:id="1733045769">
          <w:marLeft w:val="0"/>
          <w:marRight w:val="0"/>
          <w:marTop w:val="0"/>
          <w:marBottom w:val="0"/>
          <w:divBdr>
            <w:top w:val="none" w:sz="0" w:space="0" w:color="auto"/>
            <w:left w:val="none" w:sz="0" w:space="0" w:color="auto"/>
            <w:bottom w:val="none" w:sz="0" w:space="0" w:color="auto"/>
            <w:right w:val="none" w:sz="0" w:space="0" w:color="auto"/>
          </w:divBdr>
        </w:div>
        <w:div w:id="521631880">
          <w:marLeft w:val="0"/>
          <w:marRight w:val="0"/>
          <w:marTop w:val="0"/>
          <w:marBottom w:val="0"/>
          <w:divBdr>
            <w:top w:val="none" w:sz="0" w:space="0" w:color="auto"/>
            <w:left w:val="none" w:sz="0" w:space="0" w:color="auto"/>
            <w:bottom w:val="none" w:sz="0" w:space="0" w:color="auto"/>
            <w:right w:val="none" w:sz="0" w:space="0" w:color="auto"/>
          </w:divBdr>
        </w:div>
        <w:div w:id="612906369">
          <w:marLeft w:val="0"/>
          <w:marRight w:val="0"/>
          <w:marTop w:val="0"/>
          <w:marBottom w:val="0"/>
          <w:divBdr>
            <w:top w:val="none" w:sz="0" w:space="0" w:color="auto"/>
            <w:left w:val="none" w:sz="0" w:space="0" w:color="auto"/>
            <w:bottom w:val="none" w:sz="0" w:space="0" w:color="auto"/>
            <w:right w:val="none" w:sz="0" w:space="0" w:color="auto"/>
          </w:divBdr>
        </w:div>
        <w:div w:id="563836738">
          <w:marLeft w:val="0"/>
          <w:marRight w:val="0"/>
          <w:marTop w:val="0"/>
          <w:marBottom w:val="0"/>
          <w:divBdr>
            <w:top w:val="none" w:sz="0" w:space="0" w:color="auto"/>
            <w:left w:val="none" w:sz="0" w:space="0" w:color="auto"/>
            <w:bottom w:val="none" w:sz="0" w:space="0" w:color="auto"/>
            <w:right w:val="none" w:sz="0" w:space="0" w:color="auto"/>
          </w:divBdr>
        </w:div>
        <w:div w:id="1458333971">
          <w:marLeft w:val="0"/>
          <w:marRight w:val="0"/>
          <w:marTop w:val="0"/>
          <w:marBottom w:val="0"/>
          <w:divBdr>
            <w:top w:val="none" w:sz="0" w:space="0" w:color="auto"/>
            <w:left w:val="none" w:sz="0" w:space="0" w:color="auto"/>
            <w:bottom w:val="none" w:sz="0" w:space="0" w:color="auto"/>
            <w:right w:val="none" w:sz="0" w:space="0" w:color="auto"/>
          </w:divBdr>
        </w:div>
        <w:div w:id="764807730">
          <w:marLeft w:val="0"/>
          <w:marRight w:val="0"/>
          <w:marTop w:val="0"/>
          <w:marBottom w:val="0"/>
          <w:divBdr>
            <w:top w:val="none" w:sz="0" w:space="0" w:color="auto"/>
            <w:left w:val="none" w:sz="0" w:space="0" w:color="auto"/>
            <w:bottom w:val="none" w:sz="0" w:space="0" w:color="auto"/>
            <w:right w:val="none" w:sz="0" w:space="0" w:color="auto"/>
          </w:divBdr>
        </w:div>
        <w:div w:id="856042280">
          <w:marLeft w:val="0"/>
          <w:marRight w:val="0"/>
          <w:marTop w:val="0"/>
          <w:marBottom w:val="0"/>
          <w:divBdr>
            <w:top w:val="none" w:sz="0" w:space="0" w:color="auto"/>
            <w:left w:val="none" w:sz="0" w:space="0" w:color="auto"/>
            <w:bottom w:val="none" w:sz="0" w:space="0" w:color="auto"/>
            <w:right w:val="none" w:sz="0" w:space="0" w:color="auto"/>
          </w:divBdr>
        </w:div>
        <w:div w:id="1160773847">
          <w:marLeft w:val="0"/>
          <w:marRight w:val="0"/>
          <w:marTop w:val="0"/>
          <w:marBottom w:val="0"/>
          <w:divBdr>
            <w:top w:val="none" w:sz="0" w:space="0" w:color="auto"/>
            <w:left w:val="none" w:sz="0" w:space="0" w:color="auto"/>
            <w:bottom w:val="none" w:sz="0" w:space="0" w:color="auto"/>
            <w:right w:val="none" w:sz="0" w:space="0" w:color="auto"/>
          </w:divBdr>
        </w:div>
        <w:div w:id="1305280554">
          <w:marLeft w:val="0"/>
          <w:marRight w:val="0"/>
          <w:marTop w:val="0"/>
          <w:marBottom w:val="0"/>
          <w:divBdr>
            <w:top w:val="none" w:sz="0" w:space="0" w:color="auto"/>
            <w:left w:val="none" w:sz="0" w:space="0" w:color="auto"/>
            <w:bottom w:val="none" w:sz="0" w:space="0" w:color="auto"/>
            <w:right w:val="none" w:sz="0" w:space="0" w:color="auto"/>
          </w:divBdr>
        </w:div>
        <w:div w:id="10755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 Id="R82b65b5c6a6b43c7"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alIdentificationData xmlns="cfaa4e22-5312-4f2c-90b6-57c40e0e9972" xsi:nil="true"/>
    <TaxCatchAll xmlns="cfaa4e22-5312-4f2c-90b6-57c40e0e9972" xsi:nil="true"/>
    <SharedWithUsers xmlns="cfaa4e22-5312-4f2c-90b6-57c40e0e9972">
      <UserInfo>
        <DisplayName>Juliette Sukoco</DisplayName>
        <AccountId>33</AccountId>
        <AccountType/>
      </UserInfo>
      <UserInfo>
        <DisplayName>Shevlyn Byroo</DisplayName>
        <AccountId>27</AccountId>
        <AccountType/>
      </UserInfo>
    </SharedWithUsers>
    <lcf76f155ced4ddcb4097134ff3c332f xmlns="cb6e2b45-f6ec-45e8-b68d-d27008072ec5">
      <Terms xmlns="http://schemas.microsoft.com/office/infopath/2007/PartnerControls"/>
    </lcf76f155ced4ddcb4097134ff3c332f>
    <g40d6b5d106a4c6291c4920d335310eb xmlns="cfaa4e22-5312-4f2c-90b6-57c40e0e9972">
      <Terms xmlns="http://schemas.microsoft.com/office/infopath/2007/PartnerControls"/>
    </g40d6b5d106a4c6291c4920d335310e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B834D2C31B146BBAD3FA17DD9D2A2" ma:contentTypeVersion="17" ma:contentTypeDescription="Create a new document." ma:contentTypeScope="" ma:versionID="2a8d1b3b30309db7cabb13e6273b7e45">
  <xsd:schema xmlns:xsd="http://www.w3.org/2001/XMLSchema" xmlns:xs="http://www.w3.org/2001/XMLSchema" xmlns:p="http://schemas.microsoft.com/office/2006/metadata/properties" xmlns:ns2="cfaa4e22-5312-4f2c-90b6-57c40e0e9972" xmlns:ns3="cb6e2b45-f6ec-45e8-b68d-d27008072ec5" targetNamespace="http://schemas.microsoft.com/office/2006/metadata/properties" ma:root="true" ma:fieldsID="5eb40ab04504600cd48d850c3c43054d" ns2:_="" ns3:_="">
    <xsd:import namespace="cfaa4e22-5312-4f2c-90b6-57c40e0e9972"/>
    <xsd:import namespace="cb6e2b45-f6ec-45e8-b68d-d27008072ec5"/>
    <xsd:element name="properties">
      <xsd:complexType>
        <xsd:sequence>
          <xsd:element name="documentManagement">
            <xsd:complexType>
              <xsd:all>
                <xsd:element ref="ns2:g40d6b5d106a4c6291c4920d335310eb"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a4e22-5312-4f2c-90b6-57c40e0e9972" elementFormDefault="qualified">
    <xsd:import namespace="http://schemas.microsoft.com/office/2006/documentManagement/types"/>
    <xsd:import namespace="http://schemas.microsoft.com/office/infopath/2007/PartnerControls"/>
    <xsd:element name="g40d6b5d106a4c6291c4920d335310eb" ma:index="9" nillable="true" ma:taxonomy="true" ma:internalName="g40d6b5d106a4c6291c4920d335310eb" ma:taxonomyFieldName="Staff_x0020_Category" ma:displayName="Staff Category" ma:default="" ma:fieldId="{040d6b5d-106a-4c62-91c4-920d335310eb}" ma:sspId="193cdc2e-fdc8-4ab6-8527-fb66fff71ce8" ma:termSetId="4cbd657e-e5bd-4bfd-8a2d-05a0ed08cf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aad43aa-a56c-4c89-afdd-1b87e10dc627}" ma:internalName="TaxCatchAll" ma:showField="CatchAllData" ma:web="cfaa4e22-5312-4f2c-90b6-57c40e0e9972">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e2b45-f6ec-45e8-b68d-d27008072ec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3cdc2e-fdc8-4ab6-8527-fb66fff71ce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0577D-4224-4B36-B107-CF9CCB7DC965}">
  <ds:schemaRefs>
    <ds:schemaRef ds:uri="http://purl.org/dc/terms/"/>
    <ds:schemaRef ds:uri="cfaa4e22-5312-4f2c-90b6-57c40e0e9972"/>
    <ds:schemaRef ds:uri="http://schemas.microsoft.com/office/2006/documentManagement/types"/>
    <ds:schemaRef ds:uri="http://schemas.microsoft.com/office/infopath/2007/PartnerControls"/>
    <ds:schemaRef ds:uri="http://purl.org/dc/elements/1.1/"/>
    <ds:schemaRef ds:uri="http://schemas.microsoft.com/office/2006/metadata/properties"/>
    <ds:schemaRef ds:uri="aece9a07-87c3-4813-9924-e42792df4189"/>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9EC0DA7-358C-4D4C-8CA5-93744B1CF673}">
  <ds:schemaRefs>
    <ds:schemaRef ds:uri="http://schemas.microsoft.com/sharepoint/v3/contenttype/forms"/>
  </ds:schemaRefs>
</ds:datastoreItem>
</file>

<file path=customXml/itemProps3.xml><?xml version="1.0" encoding="utf-8"?>
<ds:datastoreItem xmlns:ds="http://schemas.openxmlformats.org/officeDocument/2006/customXml" ds:itemID="{E45EB6B1-9BB1-4F0C-85CA-046587DBEDFE}"/>
</file>

<file path=docProps/app.xml><?xml version="1.0" encoding="utf-8"?>
<Properties xmlns="http://schemas.openxmlformats.org/officeDocument/2006/extended-properties" xmlns:vt="http://schemas.openxmlformats.org/officeDocument/2006/docPropsVTypes">
  <Template>Normal</Template>
  <TotalTime>24</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Devine</dc:creator>
  <cp:keywords/>
  <dc:description/>
  <cp:lastModifiedBy>Hayley Negus</cp:lastModifiedBy>
  <cp:revision>5</cp:revision>
  <dcterms:created xsi:type="dcterms:W3CDTF">2022-12-01T11:57:00Z</dcterms:created>
  <dcterms:modified xsi:type="dcterms:W3CDTF">2023-01-26T14:16:00Z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0x010100522B834D2C31B146BBAD3FA17DD9D2A2</vt:lpwstr>
  </property>
  <property fmtid="{D5CDD505-2E9C-101B-9397-08002B2CF9AE}" pid="3" name="Topic">
    <vt:lpwstr/>
  </property>
  <property fmtid="{D5CDD505-2E9C-101B-9397-08002B2CF9AE}" pid="4" name="Term">
    <vt:lpwstr/>
  </property>
  <property fmtid="{D5CDD505-2E9C-101B-9397-08002B2CF9AE}" pid="5" name="Exam Board">
    <vt:lpwstr/>
  </property>
  <property fmtid="{D5CDD505-2E9C-101B-9397-08002B2CF9AE}" pid="6" name="Week">
    <vt:lpwstr/>
  </property>
  <property fmtid="{D5CDD505-2E9C-101B-9397-08002B2CF9AE}" pid="7" name="Staff Category">
    <vt:lpwstr/>
  </property>
  <property fmtid="{D5CDD505-2E9C-101B-9397-08002B2CF9AE}" pid="8" name="MediaServiceImageTags">
    <vt:lpwstr/>
  </property>
</Properties>
</file>